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b/>
          <w:bCs/>
          <w:sz w:val="24"/>
        </w:rPr>
      </w:pPr>
      <w:bookmarkStart w:id="0" w:name="_Toc7892"/>
      <w:r>
        <w:rPr>
          <w:rFonts w:hint="eastAsia" w:ascii="黑体" w:hAnsi="黑体" w:eastAsia="黑体" w:cs="黑体"/>
          <w:b/>
          <w:bCs/>
          <w:sz w:val="24"/>
        </w:rPr>
        <w:t>附件1：</w:t>
      </w:r>
      <w:bookmarkEnd w:id="0"/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/>
          <w:bCs/>
          <w:sz w:val="24"/>
          <w:szCs w:val="24"/>
        </w:rPr>
      </w:pPr>
      <w:bookmarkStart w:id="1" w:name="_GoBack"/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桂林理工大学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南宁分校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二级党组织理论学习中心组巡听旁听安排登记表</w:t>
      </w:r>
    </w:p>
    <w:bookmarkEnd w:id="1"/>
    <w:p>
      <w:pPr>
        <w:spacing w:line="560" w:lineRule="exac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单位：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4"/>
        </w:rPr>
        <w:t>（公章）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24"/>
        </w:rPr>
        <w:t>填表日期：      年     月    日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3"/>
        <w:gridCol w:w="1088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学习主题</w:t>
            </w:r>
          </w:p>
        </w:tc>
        <w:tc>
          <w:tcPr>
            <w:tcW w:w="3334" w:type="pct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学习时间</w:t>
            </w:r>
          </w:p>
        </w:tc>
        <w:tc>
          <w:tcPr>
            <w:tcW w:w="3334" w:type="pct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学习地点</w:t>
            </w:r>
          </w:p>
        </w:tc>
        <w:tc>
          <w:tcPr>
            <w:tcW w:w="3334" w:type="pct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中心组成员名单</w:t>
            </w:r>
          </w:p>
        </w:tc>
        <w:tc>
          <w:tcPr>
            <w:tcW w:w="3334" w:type="pct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议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程</w:t>
            </w:r>
          </w:p>
        </w:tc>
        <w:tc>
          <w:tcPr>
            <w:tcW w:w="3334" w:type="pct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党组织书记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二级党组织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中心组学习联络人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560" w:lineRule="exact"/>
        <w:ind w:left="840" w:hanging="840" w:hangingChars="35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24"/>
        </w:rPr>
        <w:t>备注：此表请提前一周发送至党委宣传部邮箱</w:t>
      </w:r>
      <w:r>
        <w:rPr>
          <w:rFonts w:hint="eastAsia" w:ascii="方正仿宋_GBK" w:hAnsi="方正仿宋_GBK" w:eastAsia="方正仿宋_GBK" w:cs="方正仿宋_GBK"/>
          <w:color w:val="auto"/>
          <w:sz w:val="24"/>
          <w:lang w:val="en-US" w:eastAsia="zh-CN"/>
        </w:rPr>
        <w:t>glutnnxcb@163.com</w:t>
      </w:r>
      <w:r>
        <w:rPr>
          <w:rFonts w:hint="eastAsia" w:ascii="方正仿宋_GBK" w:hAnsi="方正仿宋_GBK" w:eastAsia="方正仿宋_GBK" w:cs="方正仿宋_GBK"/>
          <w:sz w:val="24"/>
        </w:rPr>
        <w:t>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F1E64"/>
    <w:rsid w:val="345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2021-06-22T08:00:00Z</dcterms:created>
  <dc:creator>吴祖枝</dc:creator>
  <cp:lastModifiedBy>吴祖枝</cp:lastModifiedBy>
  <dcterms:modified xsi:type="dcterms:W3CDTF">2021-06-22T08:01:19Z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8BB92833D22A41DABC0AE363AEE86938</vt:lpwstr>
  </property>
  <property fmtid="{D5CDD505-2E9C-101B-9397-08002B2CF9AE}" pid="4" name="KSOSaveFontToCloudKey">
    <vt:lpwstr>356335896_btnclosed</vt:lpwstr>
  </property>
</Properties>
</file>